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362F1927" w:rsidR="00224802" w:rsidRPr="006D1C40" w:rsidRDefault="0097201E" w:rsidP="00224802">
      <w:pPr>
        <w:pStyle w:val="NoSpacing"/>
        <w:rPr>
          <w:rFonts w:ascii="Gill Sans MT" w:hAnsi="Gill Sans MT"/>
          <w:b/>
          <w:bCs/>
          <w:sz w:val="26"/>
          <w:szCs w:val="26"/>
          <w:lang w:val="fr-FR"/>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6D1C40">
        <w:rPr>
          <w:rFonts w:ascii="Gill Sans MT" w:hAnsi="Gill Sans MT"/>
          <w:b/>
          <w:sz w:val="26"/>
          <w:szCs w:val="26"/>
          <w:lang w:val="fr-FR"/>
        </w:rPr>
        <w:t>NC-</w:t>
      </w:r>
      <w:r w:rsidR="00D61CB5" w:rsidRPr="006D1C40">
        <w:rPr>
          <w:rFonts w:ascii="Gill Sans MT" w:hAnsi="Gill Sans MT"/>
          <w:b/>
          <w:sz w:val="26"/>
          <w:szCs w:val="26"/>
          <w:lang w:val="fr-FR"/>
        </w:rPr>
        <w:t>534</w:t>
      </w:r>
      <w:r w:rsidR="006D1C40" w:rsidRPr="006D1C40">
        <w:rPr>
          <w:rFonts w:ascii="Gill Sans MT" w:hAnsi="Gill Sans MT"/>
          <w:b/>
          <w:sz w:val="26"/>
          <w:szCs w:val="26"/>
          <w:lang w:val="fr-FR"/>
        </w:rPr>
        <w:t>2</w:t>
      </w:r>
      <w:r w:rsidR="004B1D98" w:rsidRPr="006D1C40">
        <w:rPr>
          <w:rFonts w:ascii="Gill Sans MT" w:hAnsi="Gill Sans MT"/>
          <w:b/>
          <w:sz w:val="26"/>
          <w:szCs w:val="26"/>
          <w:lang w:val="fr-FR"/>
        </w:rPr>
        <w:tab/>
      </w:r>
      <w:r w:rsidR="004B1D98" w:rsidRPr="006D1C40">
        <w:rPr>
          <w:rFonts w:ascii="Gill Sans MT" w:hAnsi="Gill Sans MT"/>
          <w:b/>
          <w:sz w:val="26"/>
          <w:szCs w:val="26"/>
          <w:lang w:val="fr-FR"/>
        </w:rPr>
        <w:tab/>
      </w:r>
      <w:r w:rsidR="004B1D98" w:rsidRPr="006D1C40">
        <w:rPr>
          <w:rFonts w:ascii="Gill Sans MT" w:hAnsi="Gill Sans MT"/>
          <w:b/>
          <w:sz w:val="26"/>
          <w:szCs w:val="26"/>
          <w:lang w:val="fr-FR"/>
        </w:rPr>
        <w:tab/>
      </w:r>
      <w:r w:rsidR="004B1D98" w:rsidRPr="006D1C40">
        <w:rPr>
          <w:rFonts w:ascii="Gill Sans MT" w:hAnsi="Gill Sans MT"/>
          <w:b/>
          <w:sz w:val="26"/>
          <w:szCs w:val="26"/>
          <w:lang w:val="fr-FR"/>
        </w:rPr>
        <w:tab/>
      </w:r>
      <w:r w:rsidR="004B1D98" w:rsidRPr="006D1C40">
        <w:rPr>
          <w:rFonts w:ascii="Gill Sans MT" w:hAnsi="Gill Sans MT"/>
          <w:b/>
          <w:sz w:val="26"/>
          <w:szCs w:val="26"/>
          <w:lang w:val="fr-FR"/>
        </w:rPr>
        <w:tab/>
      </w:r>
      <w:r w:rsidR="004B1D98" w:rsidRPr="006D1C40">
        <w:rPr>
          <w:rFonts w:ascii="Gill Sans MT" w:hAnsi="Gill Sans MT"/>
          <w:b/>
          <w:sz w:val="26"/>
          <w:szCs w:val="26"/>
          <w:lang w:val="fr-FR"/>
        </w:rPr>
        <w:tab/>
      </w:r>
      <w:r w:rsidR="00FD73E5" w:rsidRPr="006D1C40">
        <w:rPr>
          <w:rFonts w:ascii="Gill Sans MT" w:hAnsi="Gill Sans MT"/>
          <w:b/>
          <w:sz w:val="26"/>
          <w:szCs w:val="26"/>
          <w:lang w:val="fr-FR"/>
        </w:rPr>
        <w:tab/>
      </w:r>
      <w:r w:rsidR="00D61CB5" w:rsidRPr="006D1C40">
        <w:rPr>
          <w:rFonts w:ascii="Gill Sans MT" w:hAnsi="Gill Sans MT"/>
          <w:b/>
          <w:sz w:val="26"/>
          <w:szCs w:val="26"/>
          <w:lang w:val="fr-FR"/>
        </w:rPr>
        <w:tab/>
      </w:r>
      <w:r w:rsidR="00D61CB5" w:rsidRPr="006D1C40">
        <w:rPr>
          <w:rFonts w:ascii="Gill Sans MT" w:hAnsi="Gill Sans MT"/>
          <w:b/>
          <w:sz w:val="26"/>
          <w:szCs w:val="26"/>
          <w:lang w:val="fr-FR"/>
        </w:rPr>
        <w:tab/>
      </w:r>
      <w:r w:rsidR="00D61CB5" w:rsidRPr="006D1C40">
        <w:rPr>
          <w:rFonts w:ascii="Gill Sans MT" w:hAnsi="Gill Sans MT"/>
          <w:b/>
          <w:bCs/>
          <w:sz w:val="26"/>
          <w:szCs w:val="26"/>
          <w:lang w:val="fr-FR"/>
        </w:rPr>
        <w:t>May</w:t>
      </w:r>
      <w:r w:rsidR="001F6404" w:rsidRPr="006D1C40">
        <w:rPr>
          <w:rFonts w:ascii="Gill Sans MT" w:hAnsi="Gill Sans MT"/>
          <w:b/>
          <w:bCs/>
          <w:sz w:val="26"/>
          <w:szCs w:val="26"/>
          <w:lang w:val="fr-FR"/>
        </w:rPr>
        <w:t>o</w:t>
      </w:r>
      <w:r w:rsidR="00224802" w:rsidRPr="006D1C40">
        <w:rPr>
          <w:rFonts w:ascii="Gill Sans MT" w:hAnsi="Gill Sans MT"/>
          <w:b/>
          <w:bCs/>
          <w:sz w:val="26"/>
          <w:szCs w:val="26"/>
          <w:lang w:val="fr-FR"/>
        </w:rPr>
        <w:t xml:space="preserve"> 202</w:t>
      </w:r>
      <w:r w:rsidR="001A6197" w:rsidRPr="006D1C40">
        <w:rPr>
          <w:rFonts w:ascii="Gill Sans MT" w:hAnsi="Gill Sans MT"/>
          <w:b/>
          <w:bCs/>
          <w:sz w:val="26"/>
          <w:szCs w:val="26"/>
          <w:lang w:val="fr-FR"/>
        </w:rPr>
        <w:t>6</w:t>
      </w:r>
    </w:p>
    <w:p w14:paraId="7676AD37" w14:textId="31C9C748" w:rsidR="00EB1F49" w:rsidRPr="006D1C40" w:rsidRDefault="00EB1F49" w:rsidP="00224802">
      <w:pPr>
        <w:pStyle w:val="NoSpacing"/>
        <w:spacing w:line="360" w:lineRule="auto"/>
        <w:rPr>
          <w:rFonts w:ascii="Gill Sans MT" w:hAnsi="Gill Sans MT"/>
          <w:b/>
          <w:sz w:val="16"/>
          <w:szCs w:val="16"/>
          <w:lang w:val="fr-FR"/>
        </w:rPr>
      </w:pPr>
    </w:p>
    <w:p w14:paraId="78F51831" w14:textId="29B37EBA" w:rsidR="00B026B8" w:rsidRDefault="001E0647" w:rsidP="00B026B8">
      <w:pPr>
        <w:spacing w:after="0" w:line="360" w:lineRule="auto"/>
        <w:jc w:val="both"/>
        <w:rPr>
          <w:rFonts w:ascii="Gill Sans MT" w:hAnsi="Gill Sans MT"/>
          <w:b/>
          <w:sz w:val="26"/>
          <w:szCs w:val="26"/>
          <w:lang w:val="es-ES"/>
        </w:rPr>
      </w:pPr>
      <w:r w:rsidRPr="001E0647">
        <w:rPr>
          <w:rFonts w:ascii="Gill Sans MT" w:hAnsi="Gill Sans MT"/>
          <w:b/>
          <w:sz w:val="26"/>
          <w:szCs w:val="26"/>
          <w:lang w:val="es-ES"/>
        </w:rPr>
        <w:t>SE DESVELA LA NUEVA GAMA DE EXCAVADORAS DE MÁS DE 50 TONELADAS</w:t>
      </w:r>
    </w:p>
    <w:p w14:paraId="13DC8362" w14:textId="77777777" w:rsidR="001E0647" w:rsidRPr="001E0647" w:rsidRDefault="001E0647" w:rsidP="00B026B8">
      <w:pPr>
        <w:spacing w:after="0" w:line="360" w:lineRule="auto"/>
        <w:jc w:val="both"/>
        <w:rPr>
          <w:rFonts w:ascii="Gill Sans MT" w:hAnsi="Gill Sans MT"/>
          <w:sz w:val="16"/>
          <w:szCs w:val="16"/>
          <w:lang w:val="es-ES"/>
        </w:rPr>
      </w:pPr>
    </w:p>
    <w:p w14:paraId="471B5737" w14:textId="77777777" w:rsidR="001E0647" w:rsidRPr="001E0647" w:rsidRDefault="001E0647" w:rsidP="001E0647">
      <w:pPr>
        <w:spacing w:after="120" w:line="360" w:lineRule="auto"/>
        <w:jc w:val="both"/>
        <w:rPr>
          <w:rFonts w:ascii="Gill Sans MT" w:hAnsi="Gill Sans MT"/>
          <w:sz w:val="26"/>
          <w:szCs w:val="26"/>
          <w:lang w:val="es-ES"/>
        </w:rPr>
      </w:pPr>
      <w:r w:rsidRPr="001E0647">
        <w:rPr>
          <w:rFonts w:ascii="Gill Sans MT" w:hAnsi="Gill Sans MT"/>
          <w:sz w:val="26"/>
          <w:szCs w:val="26"/>
          <w:lang w:val="es-ES"/>
        </w:rPr>
        <w:t>JCB amplía su gama de excavadoras sobre orugas de la serie X con el lanzamiento de la nueva 520X, el modelo más potente de la gama, de 50 toneladas.</w:t>
      </w:r>
    </w:p>
    <w:p w14:paraId="7EEDB524" w14:textId="77777777" w:rsidR="001E0647" w:rsidRPr="001E0647" w:rsidRDefault="001E0647" w:rsidP="001E0647">
      <w:pPr>
        <w:spacing w:after="120" w:line="360" w:lineRule="auto"/>
        <w:jc w:val="both"/>
        <w:rPr>
          <w:rFonts w:ascii="Gill Sans MT" w:hAnsi="Gill Sans MT"/>
          <w:sz w:val="26"/>
          <w:szCs w:val="26"/>
          <w:lang w:val="es-ES"/>
        </w:rPr>
      </w:pPr>
      <w:r w:rsidRPr="001E0647">
        <w:rPr>
          <w:rFonts w:ascii="Gill Sans MT" w:hAnsi="Gill Sans MT"/>
          <w:sz w:val="26"/>
          <w:szCs w:val="26"/>
          <w:lang w:val="es-ES"/>
        </w:rPr>
        <w:t>Este lanzamiento completa la gama de excavadoras sobre orugas Heavyline de JCB, que ya incluye los modelos 370X y 420X.</w:t>
      </w:r>
    </w:p>
    <w:p w14:paraId="49528BFD" w14:textId="3F53E26F" w:rsidR="00B026B8" w:rsidRPr="00A25ABC" w:rsidRDefault="00A25ABC" w:rsidP="00B026B8">
      <w:pPr>
        <w:spacing w:after="120" w:line="360" w:lineRule="auto"/>
        <w:jc w:val="both"/>
        <w:rPr>
          <w:rFonts w:ascii="Gill Sans MT" w:hAnsi="Gill Sans MT"/>
          <w:sz w:val="26"/>
          <w:szCs w:val="26"/>
          <w:lang w:val="es-ES"/>
        </w:rPr>
      </w:pPr>
      <w:r w:rsidRPr="00A25ABC">
        <w:rPr>
          <w:rFonts w:ascii="Gill Sans MT" w:hAnsi="Gill Sans MT"/>
          <w:sz w:val="26"/>
          <w:szCs w:val="26"/>
          <w:lang w:val="es-ES"/>
        </w:rPr>
        <w:t>Entre las características principales del 520X se incluyen</w:t>
      </w:r>
      <w:r w:rsidR="00B026B8" w:rsidRPr="00A25ABC">
        <w:rPr>
          <w:rFonts w:ascii="Gill Sans MT" w:hAnsi="Gill Sans MT"/>
          <w:sz w:val="26"/>
          <w:szCs w:val="26"/>
          <w:lang w:val="es-ES"/>
        </w:rPr>
        <w:t>:</w:t>
      </w:r>
    </w:p>
    <w:p w14:paraId="3E970132" w14:textId="77777777" w:rsidR="00A25ABC" w:rsidRPr="00A25ABC" w:rsidRDefault="00A25ABC" w:rsidP="00B026B8">
      <w:pPr>
        <w:pStyle w:val="ListParagraph"/>
        <w:numPr>
          <w:ilvl w:val="0"/>
          <w:numId w:val="4"/>
        </w:numPr>
        <w:spacing w:after="120" w:line="360" w:lineRule="auto"/>
        <w:rPr>
          <w:rFonts w:ascii="Gill Sans MT" w:hAnsi="Gill Sans MT"/>
          <w:sz w:val="26"/>
          <w:szCs w:val="26"/>
          <w:lang w:val="es-ES"/>
        </w:rPr>
      </w:pPr>
      <w:r w:rsidRPr="00A25ABC">
        <w:rPr>
          <w:rFonts w:ascii="Gill Sans MT" w:hAnsi="Gill Sans MT"/>
          <w:sz w:val="26"/>
          <w:szCs w:val="26"/>
          <w:lang w:val="es-ES"/>
        </w:rPr>
        <w:t>Motor diésel Cummins X12 con una potencia de 298 kW (400 CV)</w:t>
      </w:r>
    </w:p>
    <w:p w14:paraId="0EFE4ABF" w14:textId="77777777" w:rsidR="00A25ABC" w:rsidRPr="006D1C40" w:rsidRDefault="00A25ABC" w:rsidP="00B026B8">
      <w:pPr>
        <w:pStyle w:val="ListParagraph"/>
        <w:numPr>
          <w:ilvl w:val="0"/>
          <w:numId w:val="4"/>
        </w:numPr>
        <w:spacing w:after="120" w:line="360" w:lineRule="auto"/>
        <w:rPr>
          <w:rFonts w:ascii="Gill Sans MT" w:hAnsi="Gill Sans MT"/>
          <w:sz w:val="26"/>
          <w:szCs w:val="26"/>
          <w:lang w:val="it-IT"/>
        </w:rPr>
      </w:pPr>
      <w:r w:rsidRPr="006D1C40">
        <w:rPr>
          <w:rFonts w:ascii="Gill Sans MT" w:hAnsi="Gill Sans MT"/>
          <w:sz w:val="26"/>
          <w:szCs w:val="26"/>
          <w:lang w:val="it-IT"/>
        </w:rPr>
        <w:t>Cabina JCB CommandPlus con la interfaz de usuario intuitiva JCB UX</w:t>
      </w:r>
    </w:p>
    <w:p w14:paraId="41EF93F9" w14:textId="11C70A94" w:rsidR="00B12776" w:rsidRDefault="00B12776" w:rsidP="00B026B8">
      <w:pPr>
        <w:pStyle w:val="ListParagraph"/>
        <w:numPr>
          <w:ilvl w:val="0"/>
          <w:numId w:val="4"/>
        </w:numPr>
        <w:spacing w:after="120" w:line="360" w:lineRule="auto"/>
        <w:rPr>
          <w:rFonts w:ascii="Gill Sans MT" w:hAnsi="Gill Sans MT"/>
          <w:sz w:val="26"/>
          <w:szCs w:val="26"/>
          <w:lang w:val="es-ES"/>
        </w:rPr>
      </w:pPr>
      <w:r w:rsidRPr="00B12776">
        <w:rPr>
          <w:rFonts w:ascii="Gill Sans MT" w:hAnsi="Gill Sans MT"/>
          <w:sz w:val="26"/>
          <w:szCs w:val="26"/>
          <w:lang w:val="es-ES"/>
        </w:rPr>
        <w:t>Gama de configuraciones de brazo y pluma disponibles para adaptarse a las necesidades del cliente</w:t>
      </w:r>
    </w:p>
    <w:p w14:paraId="7320AEAB" w14:textId="77777777" w:rsidR="00B12776" w:rsidRPr="00B12776" w:rsidRDefault="00B12776" w:rsidP="00B12776">
      <w:pPr>
        <w:pStyle w:val="ListParagraph"/>
        <w:numPr>
          <w:ilvl w:val="0"/>
          <w:numId w:val="4"/>
        </w:numPr>
        <w:spacing w:after="0" w:line="360" w:lineRule="auto"/>
        <w:jc w:val="both"/>
        <w:rPr>
          <w:rFonts w:ascii="Gill Sans MT" w:hAnsi="Gill Sans MT"/>
          <w:sz w:val="26"/>
          <w:szCs w:val="26"/>
          <w:lang w:val="es-ES"/>
        </w:rPr>
      </w:pPr>
      <w:r w:rsidRPr="00B12776">
        <w:rPr>
          <w:rFonts w:ascii="Gill Sans MT" w:hAnsi="Gill Sans MT"/>
          <w:sz w:val="26"/>
          <w:szCs w:val="26"/>
          <w:lang w:val="es-ES"/>
        </w:rPr>
        <w:t>Opción de tren de rodaje de ancho variable disponible</w:t>
      </w:r>
    </w:p>
    <w:p w14:paraId="21AC56B7" w14:textId="45EC91FE" w:rsidR="00D27FFD" w:rsidRPr="006D1C40" w:rsidRDefault="00D27FFD" w:rsidP="00181605">
      <w:pPr>
        <w:spacing w:after="120" w:line="360" w:lineRule="auto"/>
        <w:jc w:val="both"/>
        <w:rPr>
          <w:rFonts w:ascii="Gill Sans MT" w:hAnsi="Gill Sans MT"/>
          <w:b/>
          <w:sz w:val="26"/>
          <w:szCs w:val="26"/>
          <w:lang w:val="es-ES"/>
        </w:rPr>
      </w:pPr>
      <w:r w:rsidRPr="006D1C40">
        <w:rPr>
          <w:rFonts w:ascii="Gill Sans MT" w:hAnsi="Gill Sans MT"/>
          <w:b/>
          <w:sz w:val="26"/>
          <w:szCs w:val="26"/>
          <w:lang w:val="es-ES"/>
        </w:rPr>
        <w:t>Un modelo de gran resistencia</w:t>
      </w:r>
    </w:p>
    <w:p w14:paraId="48061BE1" w14:textId="77777777" w:rsidR="00D27FFD" w:rsidRDefault="00D27FFD" w:rsidP="00181605">
      <w:pPr>
        <w:spacing w:after="120" w:line="360" w:lineRule="auto"/>
        <w:jc w:val="both"/>
        <w:rPr>
          <w:rFonts w:ascii="Gill Sans MT" w:hAnsi="Gill Sans MT"/>
          <w:bCs/>
          <w:sz w:val="26"/>
          <w:szCs w:val="26"/>
          <w:lang w:val="es-ES"/>
        </w:rPr>
      </w:pPr>
      <w:r w:rsidRPr="00D27FFD">
        <w:rPr>
          <w:rFonts w:ascii="Gill Sans MT" w:hAnsi="Gill Sans MT"/>
          <w:bCs/>
          <w:sz w:val="26"/>
          <w:szCs w:val="26"/>
          <w:lang w:val="es-ES"/>
        </w:rPr>
        <w:t>La 520X amplía la gama de excavadoras sobre orugas de la serie X de JCB a un nuevo segmento de mercado, con un peso operativo de entre 52 y 57 toneladas, dependiendo de las especificaciones de configuración. La máquina puede configurarse con una pluma estándar de 6,9 metros (m) para una versatilidad máxima, o con una pluma para excavación a gran escala de 6,5 m para aquellos clientes que busquen el máximo rendimiento.</w:t>
      </w:r>
    </w:p>
    <w:p w14:paraId="79323146" w14:textId="77777777" w:rsidR="00D27FFD" w:rsidRPr="00D27FFD" w:rsidRDefault="00D27FFD" w:rsidP="00D27FFD">
      <w:pPr>
        <w:spacing w:after="120" w:line="360" w:lineRule="auto"/>
        <w:jc w:val="both"/>
        <w:rPr>
          <w:rFonts w:ascii="Gill Sans MT" w:hAnsi="Gill Sans MT"/>
          <w:bCs/>
          <w:sz w:val="26"/>
          <w:szCs w:val="26"/>
          <w:lang w:val="es-ES"/>
        </w:rPr>
      </w:pPr>
      <w:r w:rsidRPr="00D27FFD">
        <w:rPr>
          <w:rFonts w:ascii="Gill Sans MT" w:hAnsi="Gill Sans MT"/>
          <w:bCs/>
          <w:sz w:val="26"/>
          <w:szCs w:val="26"/>
          <w:lang w:val="es-ES"/>
        </w:rPr>
        <w:t>La pluma para excavación masiva de 6,5 m admite un brazo de alta resistencia de 2,55 m o 3,0 m, mientras que la pluma de largo alcance de 6,9 m admite un brazo de 3,0 m o 3,3 m. La máquina puede utilizar cucharas con una capacidad de entre 2,8 y 3,4 m3, según las especificaciones.</w:t>
      </w:r>
    </w:p>
    <w:p w14:paraId="55896B91" w14:textId="77777777" w:rsidR="00D27FFD" w:rsidRDefault="00D27FFD" w:rsidP="00D27FFD">
      <w:pPr>
        <w:spacing w:after="120" w:line="360" w:lineRule="auto"/>
        <w:jc w:val="both"/>
        <w:rPr>
          <w:rFonts w:ascii="Gill Sans MT" w:hAnsi="Gill Sans MT"/>
          <w:bCs/>
          <w:sz w:val="26"/>
          <w:szCs w:val="26"/>
          <w:lang w:val="es-ES"/>
        </w:rPr>
      </w:pPr>
      <w:r w:rsidRPr="00D27FFD">
        <w:rPr>
          <w:rFonts w:ascii="Gill Sans MT" w:hAnsi="Gill Sans MT"/>
          <w:bCs/>
          <w:sz w:val="26"/>
          <w:szCs w:val="26"/>
          <w:lang w:val="es-ES"/>
        </w:rPr>
        <w:t>El alcance máximo de excavación es de 11,8 m con la pluma de alcance y el brazo más largo, con una profundidad máxima de excavación de 7,8 m. La altura máxima de descarga es de 7,5 m, lo que convierte a la máquina en la opción ideal para una amplia gama de ciclos de trabajo y aplicaciones. La 520X cuenta con una fuerza de arranque de la cuchara de hasta 279 kN, mientras que la fuerza de arranque de la cuchara alcanza los 318 kN.</w:t>
      </w:r>
    </w:p>
    <w:p w14:paraId="6192A7FE" w14:textId="77777777" w:rsidR="00D65906" w:rsidRDefault="00D65906" w:rsidP="00D65906">
      <w:pPr>
        <w:spacing w:afterLines="200" w:after="480" w:line="360" w:lineRule="auto"/>
        <w:rPr>
          <w:rFonts w:ascii="Gill Sans MT" w:hAnsi="Gill Sans MT"/>
          <w:bCs/>
          <w:sz w:val="26"/>
          <w:szCs w:val="26"/>
          <w:lang w:val="es-ES"/>
        </w:rPr>
      </w:pPr>
      <w:r w:rsidRPr="00D65906">
        <w:rPr>
          <w:rFonts w:ascii="Gill Sans MT" w:hAnsi="Gill Sans MT"/>
          <w:bCs/>
          <w:sz w:val="26"/>
          <w:szCs w:val="26"/>
          <w:lang w:val="es-ES"/>
        </w:rPr>
        <w:t xml:space="preserve">La máquina está propulsada por un motor diésel Cummins X12. Diseñado para ofrecer una excelente relación potencia-peso, el X12 proporciona la respuesta y la potencia de un motor de mayor cilindrada, al tiempo que maximiza la eficiencia en el consumo de combustible. El motor de </w:t>
      </w:r>
      <w:r w:rsidRPr="00D65906">
        <w:rPr>
          <w:rFonts w:ascii="Gill Sans MT" w:hAnsi="Gill Sans MT"/>
          <w:bCs/>
          <w:sz w:val="26"/>
          <w:szCs w:val="26"/>
          <w:lang w:val="es-ES"/>
        </w:rPr>
        <w:lastRenderedPageBreak/>
        <w:t>11,8 litros desarrolla 298 kW (400 CV) a 1.800 rpm, con un robusto par de 1.969 Nm disponible a tan solo 1.400 rpm, lo que proporciona una gran capacidad de excavación a bajas revoluciones y el potencial para alcanzar una impresionante productividad en toneladas por litro.</w:t>
      </w:r>
    </w:p>
    <w:p w14:paraId="11E7EA1F" w14:textId="00DBD544" w:rsidR="00B026B8" w:rsidRPr="00D65906" w:rsidRDefault="00B026B8" w:rsidP="00B026B8">
      <w:pPr>
        <w:spacing w:afterLines="200" w:after="480" w:line="360" w:lineRule="auto"/>
        <w:jc w:val="right"/>
        <w:rPr>
          <w:rFonts w:ascii="Gill Sans MT" w:hAnsi="Gill Sans MT"/>
          <w:sz w:val="26"/>
          <w:szCs w:val="26"/>
          <w:lang w:val="es-ES"/>
        </w:rPr>
      </w:pPr>
      <w:r w:rsidRPr="00D65906">
        <w:rPr>
          <w:rFonts w:ascii="Gill Sans MT" w:hAnsi="Gill Sans MT"/>
          <w:sz w:val="26"/>
          <w:szCs w:val="26"/>
          <w:lang w:val="es-ES"/>
        </w:rPr>
        <w:t>M</w:t>
      </w:r>
      <w:r w:rsidR="00282BDD">
        <w:rPr>
          <w:rFonts w:ascii="Gill Sans MT" w:hAnsi="Gill Sans MT"/>
          <w:sz w:val="26"/>
          <w:szCs w:val="26"/>
          <w:lang w:val="es-ES"/>
        </w:rPr>
        <w:t>ás</w:t>
      </w:r>
      <w:r w:rsidRPr="00D65906">
        <w:rPr>
          <w:rFonts w:ascii="Gill Sans MT" w:hAnsi="Gill Sans MT"/>
          <w:sz w:val="26"/>
          <w:szCs w:val="26"/>
          <w:lang w:val="es-ES"/>
        </w:rPr>
        <w:t xml:space="preserve"> . . . .</w:t>
      </w:r>
    </w:p>
    <w:p w14:paraId="090D5D24" w14:textId="77777777" w:rsidR="00B026B8" w:rsidRPr="00D65906" w:rsidRDefault="00B026B8" w:rsidP="00B026B8">
      <w:pPr>
        <w:spacing w:line="360" w:lineRule="auto"/>
        <w:rPr>
          <w:rFonts w:ascii="Gill Sans MT" w:hAnsi="Gill Sans MT"/>
          <w:b/>
          <w:bCs/>
          <w:sz w:val="26"/>
          <w:szCs w:val="26"/>
          <w:lang w:val="es-ES"/>
        </w:rPr>
      </w:pPr>
    </w:p>
    <w:p w14:paraId="60BAD231" w14:textId="77777777" w:rsidR="00B026B8" w:rsidRPr="00D65906" w:rsidRDefault="00B026B8" w:rsidP="00B026B8">
      <w:pPr>
        <w:spacing w:after="120" w:line="360" w:lineRule="auto"/>
        <w:rPr>
          <w:rFonts w:ascii="Gill Sans MT" w:hAnsi="Gill Sans MT"/>
          <w:sz w:val="26"/>
          <w:szCs w:val="26"/>
          <w:lang w:val="es-ES"/>
        </w:rPr>
      </w:pPr>
    </w:p>
    <w:p w14:paraId="7A1E90C4" w14:textId="77777777" w:rsidR="00B026B8" w:rsidRPr="006D1C40" w:rsidRDefault="00B026B8" w:rsidP="00B026B8">
      <w:pPr>
        <w:spacing w:after="120" w:line="360" w:lineRule="auto"/>
        <w:rPr>
          <w:rFonts w:ascii="Gill Sans MT" w:hAnsi="Gill Sans MT"/>
          <w:sz w:val="26"/>
          <w:szCs w:val="26"/>
          <w:lang w:val="es-ES"/>
        </w:rPr>
      </w:pPr>
      <w:r w:rsidRPr="006D1C40">
        <w:rPr>
          <w:rFonts w:ascii="Gill Sans MT" w:hAnsi="Gill Sans MT"/>
          <w:sz w:val="26"/>
          <w:szCs w:val="26"/>
          <w:lang w:val="es-ES"/>
        </w:rPr>
        <w:t>2/ . . .</w:t>
      </w:r>
    </w:p>
    <w:p w14:paraId="48A8AB8E" w14:textId="77777777" w:rsidR="009B02A7" w:rsidRPr="009B02A7" w:rsidRDefault="009B02A7" w:rsidP="009B02A7">
      <w:pPr>
        <w:spacing w:after="120" w:line="360" w:lineRule="auto"/>
        <w:jc w:val="both"/>
        <w:rPr>
          <w:rFonts w:ascii="Gill Sans MT" w:hAnsi="Gill Sans MT"/>
          <w:bCs/>
          <w:sz w:val="26"/>
          <w:szCs w:val="26"/>
          <w:lang w:val="es-ES"/>
        </w:rPr>
      </w:pPr>
      <w:r w:rsidRPr="009B02A7">
        <w:rPr>
          <w:rFonts w:ascii="Gill Sans MT" w:hAnsi="Gill Sans MT"/>
          <w:bCs/>
          <w:sz w:val="26"/>
          <w:szCs w:val="26"/>
          <w:lang w:val="es-ES"/>
        </w:rPr>
        <w:t>El motor acciona dos bombas hidráulicas de pistones axiales de cilindrada variable, que producen un caudal hidráulico considerable de 404 l/min cada una. El sistema hidráulico japonés de última generación se ha optimizado para lograr la máxima eficiencia, con componentes hidráulicos de última generación, tuberías de mayor diámetro y un ventilador de refrigeración accionado hidráulicamente que reduce el consumo de combustible. Un sistema de doble motor de giro ofrece tiempos de ciclo competitivos, para un rendimiento máximo en excavación y carga.</w:t>
      </w:r>
    </w:p>
    <w:p w14:paraId="3D5313AB" w14:textId="77777777" w:rsidR="009B02A7" w:rsidRPr="009B02A7" w:rsidRDefault="009B02A7" w:rsidP="009B02A7">
      <w:pPr>
        <w:spacing w:after="120" w:line="360" w:lineRule="auto"/>
        <w:jc w:val="both"/>
        <w:rPr>
          <w:rFonts w:ascii="Gill Sans MT" w:hAnsi="Gill Sans MT"/>
          <w:bCs/>
          <w:sz w:val="26"/>
          <w:szCs w:val="26"/>
          <w:lang w:val="es-ES"/>
        </w:rPr>
      </w:pPr>
      <w:r w:rsidRPr="009B02A7">
        <w:rPr>
          <w:rFonts w:ascii="Gill Sans MT" w:hAnsi="Gill Sans MT"/>
          <w:bCs/>
          <w:sz w:val="26"/>
          <w:szCs w:val="26"/>
          <w:lang w:val="es-ES"/>
        </w:rPr>
        <w:t>En la especificación estándar de Earthmoving Pro, la máquina cuenta con dos opciones de tren de rodaje de alta resistencia: un ancho de vía fijo de 2.740 mm o una vía de ancho variable, ajustable mecánicamente, de 2.390 mm a 2.890 mm. Los clientes pueden especificar placas de oruga de 600 a 900 mm, para adaptarse a las condiciones específicas de cada obra y a los requisitos de transporte, y hay dos opciones de contrapeso: un contrapeso fijo de 10,5 toneladas y un contrapeso de 9,8 toneladas desmontable hidráulicamente.</w:t>
      </w:r>
    </w:p>
    <w:p w14:paraId="37266994" w14:textId="77777777" w:rsidR="009B02A7" w:rsidRPr="009B02A7" w:rsidRDefault="009B02A7" w:rsidP="009B02A7">
      <w:pPr>
        <w:spacing w:after="120" w:line="360" w:lineRule="auto"/>
        <w:jc w:val="both"/>
        <w:rPr>
          <w:rFonts w:ascii="Gill Sans MT" w:hAnsi="Gill Sans MT"/>
          <w:bCs/>
          <w:sz w:val="26"/>
          <w:szCs w:val="26"/>
          <w:lang w:val="es-ES"/>
        </w:rPr>
      </w:pPr>
      <w:r w:rsidRPr="009B02A7">
        <w:rPr>
          <w:rFonts w:ascii="Gill Sans MT" w:hAnsi="Gill Sans MT"/>
          <w:bCs/>
          <w:sz w:val="26"/>
          <w:szCs w:val="26"/>
          <w:lang w:val="es-ES"/>
        </w:rPr>
        <w:t>Para obtener la máxima durabilidad y rendimiento, existe una especificación opcional Heavy-Duty Pro Pack, que incluye placas de protección contra impactos laterales adicionales, placas inferiores de alta resistencia, protectores del cilindro de la cuchara y protectores de las luces de trabajo. Tanto el modelo Earthmoving Pro como el Heavy-Duty Pro pueden pedirse con pasarelas laterales plegables para facilitar el mantenimiento y el acceso para el servicio técnico.</w:t>
      </w:r>
    </w:p>
    <w:p w14:paraId="42C4E9EB" w14:textId="2AA296EF" w:rsidR="00181605" w:rsidRPr="00282BDD" w:rsidRDefault="009B02A7" w:rsidP="00181605">
      <w:pPr>
        <w:spacing w:after="120" w:line="360" w:lineRule="auto"/>
        <w:jc w:val="both"/>
        <w:rPr>
          <w:rFonts w:ascii="Gill Sans MT" w:hAnsi="Gill Sans MT"/>
          <w:b/>
          <w:sz w:val="26"/>
          <w:szCs w:val="26"/>
          <w:lang w:val="es-ES"/>
        </w:rPr>
      </w:pPr>
      <w:r w:rsidRPr="00282BDD">
        <w:rPr>
          <w:rFonts w:ascii="Gill Sans MT" w:hAnsi="Gill Sans MT"/>
          <w:b/>
          <w:sz w:val="26"/>
          <w:szCs w:val="26"/>
          <w:lang w:val="es-ES"/>
        </w:rPr>
        <w:t>Control del operador</w:t>
      </w:r>
    </w:p>
    <w:p w14:paraId="0C390F3D" w14:textId="77777777" w:rsidR="00282BDD" w:rsidRPr="00282BDD" w:rsidRDefault="00282BDD" w:rsidP="00282BDD">
      <w:pPr>
        <w:spacing w:after="120" w:line="360" w:lineRule="auto"/>
        <w:rPr>
          <w:rFonts w:ascii="Gill Sans MT" w:hAnsi="Gill Sans MT"/>
          <w:bCs/>
          <w:sz w:val="26"/>
          <w:szCs w:val="26"/>
          <w:lang w:val="es-ES"/>
        </w:rPr>
      </w:pPr>
      <w:r w:rsidRPr="00282BDD">
        <w:rPr>
          <w:rFonts w:ascii="Gill Sans MT" w:hAnsi="Gill Sans MT"/>
          <w:bCs/>
          <w:sz w:val="26"/>
          <w:szCs w:val="26"/>
          <w:lang w:val="es-ES"/>
        </w:rPr>
        <w:t>Todas las máquinas de la serie X cuentan con la espaciosa cabina CommandPlus de JCB, que ofrece un nivel superior de comodidad y seguridad para el operador. Fabricadas con materiales de primera calidad, todas las máquinas Heavyline que cumplen la normativa se fabrican de serie con la especificación Pro, la más alta de la gama, y cuentan con un asiento del operador calefactado y ventilado, con ajuste lumbar eléctrico.</w:t>
      </w:r>
    </w:p>
    <w:p w14:paraId="040A549B" w14:textId="77777777" w:rsidR="00282BDD" w:rsidRPr="00282BDD" w:rsidRDefault="00282BDD" w:rsidP="00282BDD">
      <w:pPr>
        <w:spacing w:after="120" w:line="360" w:lineRule="auto"/>
        <w:rPr>
          <w:rFonts w:ascii="Gill Sans MT" w:hAnsi="Gill Sans MT"/>
          <w:bCs/>
          <w:sz w:val="26"/>
          <w:szCs w:val="26"/>
          <w:lang w:val="es-ES"/>
        </w:rPr>
      </w:pPr>
      <w:r w:rsidRPr="00282BDD">
        <w:rPr>
          <w:rFonts w:ascii="Gill Sans MT" w:hAnsi="Gill Sans MT"/>
          <w:bCs/>
          <w:sz w:val="26"/>
          <w:szCs w:val="26"/>
          <w:lang w:val="es-ES"/>
        </w:rPr>
        <w:t xml:space="preserve">La interfaz de usuario JCB UX también viene de serie e incorpora una pantalla táctil a todo color de 10 pulgadas, que se puede personalizar según las preferencias individuales del operador. Los </w:t>
      </w:r>
      <w:r w:rsidRPr="00282BDD">
        <w:rPr>
          <w:rFonts w:ascii="Gill Sans MT" w:hAnsi="Gill Sans MT"/>
          <w:bCs/>
          <w:sz w:val="26"/>
          <w:szCs w:val="26"/>
          <w:lang w:val="es-ES"/>
        </w:rPr>
        <w:lastRenderedPageBreak/>
        <w:t>operadores pueden configurar teclas de acceso rápido a medida para acceder rápidamente a las funciones que utilizan con más frecuencia. JCB ha introducido el arranque sin llave en la serie X, con el que basta con pulsar brevemente el botón para encender o apagar la pantalla. La pantalla permite a los operadores crear hasta 25 perfiles de usuario para guardar sus preferencias personalizadas de joystick y mandos.</w:t>
      </w:r>
    </w:p>
    <w:p w14:paraId="78C7BD32" w14:textId="77777777" w:rsidR="00282BDD" w:rsidRDefault="00282BDD" w:rsidP="00282BDD">
      <w:pPr>
        <w:spacing w:afterLines="200" w:after="480" w:line="360" w:lineRule="auto"/>
        <w:rPr>
          <w:rFonts w:ascii="Gill Sans MT" w:hAnsi="Gill Sans MT" w:cs="Gill Sans for JCB"/>
          <w:color w:val="000000"/>
          <w:sz w:val="26"/>
          <w:szCs w:val="26"/>
          <w:lang w:val="es-ES"/>
        </w:rPr>
      </w:pPr>
      <w:r w:rsidRPr="00282BDD">
        <w:rPr>
          <w:rFonts w:ascii="Gill Sans MT" w:hAnsi="Gill Sans MT" w:cs="Gill Sans for JCB"/>
          <w:color w:val="000000"/>
          <w:sz w:val="26"/>
          <w:szCs w:val="26"/>
          <w:lang w:val="es-ES"/>
        </w:rPr>
        <w:t>La cabina del 520X cuenta con certificación ROPS de serie e incorpora el sistema de aislamiento hidráulico 2-Go de JCB, lo que garantiza una mayor seguridad en cualquier aplicación. De serie, incluye una cámara de 360° de alta definición perfectamente integrada en la nueva pantalla UX, mientras que las 14 luces de trabajo LED proporcionan una excelente visibilidad en cualquier condición de iluminación.</w:t>
      </w:r>
    </w:p>
    <w:p w14:paraId="7680CFA5" w14:textId="44CBC195" w:rsidR="00DC2CB7" w:rsidRPr="00282BDD" w:rsidRDefault="00DC2CB7" w:rsidP="00282BDD">
      <w:pPr>
        <w:spacing w:afterLines="200" w:after="480" w:line="360" w:lineRule="auto"/>
        <w:rPr>
          <w:rFonts w:ascii="Gill Sans MT" w:hAnsi="Gill Sans MT"/>
          <w:sz w:val="26"/>
          <w:szCs w:val="26"/>
          <w:lang w:val="es-ES"/>
        </w:rPr>
      </w:pPr>
      <w:r w:rsidRPr="00282BDD">
        <w:rPr>
          <w:rFonts w:ascii="Gill Sans MT" w:hAnsi="Gill Sans MT"/>
          <w:sz w:val="26"/>
          <w:szCs w:val="26"/>
          <w:lang w:val="es-ES"/>
        </w:rPr>
        <w:t>M</w:t>
      </w:r>
      <w:r w:rsidR="00282BDD">
        <w:rPr>
          <w:rFonts w:ascii="Gill Sans MT" w:hAnsi="Gill Sans MT"/>
          <w:sz w:val="26"/>
          <w:szCs w:val="26"/>
          <w:lang w:val="es-ES"/>
        </w:rPr>
        <w:t>ás</w:t>
      </w:r>
      <w:r w:rsidRPr="00282BDD">
        <w:rPr>
          <w:rFonts w:ascii="Gill Sans MT" w:hAnsi="Gill Sans MT"/>
          <w:sz w:val="26"/>
          <w:szCs w:val="26"/>
          <w:lang w:val="es-ES"/>
        </w:rPr>
        <w:t xml:space="preserve"> . . . .</w:t>
      </w:r>
    </w:p>
    <w:p w14:paraId="46AAF1B7" w14:textId="77777777" w:rsidR="00DC2CB7" w:rsidRPr="00282BDD" w:rsidRDefault="00DC2CB7" w:rsidP="00DC2CB7">
      <w:pPr>
        <w:spacing w:line="360" w:lineRule="auto"/>
        <w:rPr>
          <w:rFonts w:ascii="Gill Sans MT" w:hAnsi="Gill Sans MT"/>
          <w:b/>
          <w:bCs/>
          <w:sz w:val="26"/>
          <w:szCs w:val="26"/>
          <w:lang w:val="es-ES"/>
        </w:rPr>
      </w:pPr>
    </w:p>
    <w:p w14:paraId="2707CE3A" w14:textId="77777777" w:rsidR="00DC2CB7" w:rsidRPr="006D1C40" w:rsidRDefault="00DC2CB7" w:rsidP="00DC2CB7">
      <w:pPr>
        <w:spacing w:after="120" w:line="360" w:lineRule="auto"/>
        <w:rPr>
          <w:rFonts w:ascii="Gill Sans MT" w:hAnsi="Gill Sans MT"/>
          <w:sz w:val="26"/>
          <w:szCs w:val="26"/>
          <w:lang w:val="it-IT"/>
        </w:rPr>
      </w:pPr>
      <w:r w:rsidRPr="006D1C40">
        <w:rPr>
          <w:rFonts w:ascii="Gill Sans MT" w:hAnsi="Gill Sans MT"/>
          <w:sz w:val="26"/>
          <w:szCs w:val="26"/>
          <w:lang w:val="it-IT"/>
        </w:rPr>
        <w:t>3/ . . .</w:t>
      </w:r>
    </w:p>
    <w:p w14:paraId="5D314F5B" w14:textId="77777777" w:rsidR="00012AF3" w:rsidRPr="00012AF3" w:rsidRDefault="00012AF3" w:rsidP="00012AF3">
      <w:pPr>
        <w:spacing w:after="0" w:line="240" w:lineRule="auto"/>
        <w:rPr>
          <w:rFonts w:ascii="Gill Sans MT" w:hAnsi="Gill Sans MT" w:cs="Gill Sans for JCB"/>
          <w:color w:val="000000"/>
          <w:sz w:val="26"/>
          <w:szCs w:val="26"/>
          <w:lang w:val="es-ES"/>
        </w:rPr>
      </w:pPr>
      <w:r w:rsidRPr="00012AF3">
        <w:rPr>
          <w:rFonts w:ascii="Gill Sans MT" w:hAnsi="Gill Sans MT" w:cs="Gill Sans for JCB"/>
          <w:color w:val="000000"/>
          <w:sz w:val="26"/>
          <w:szCs w:val="26"/>
          <w:lang w:val="es-ES"/>
        </w:rPr>
        <w:t>El sistema de monitorización telemática JCB LiveLink de serie proporciona datos en tiempo real de la máquina. Los clientes pueden acceder a una amplia gama de información, como el consumo de combustible, los tiempos de ralentí y los niveles de combustible. Las alertas de servicio y los requisitos de mantenimiento permiten un diagnóstico rápido y garantizan que las tareas de mantenimiento se realicen a tiempo. El sistema también ofrece una mayor seguridad, gracias a las funciones de geolocalización remota.</w:t>
      </w:r>
    </w:p>
    <w:p w14:paraId="59681093" w14:textId="77777777" w:rsidR="00012AF3" w:rsidRPr="00012AF3" w:rsidRDefault="00012AF3" w:rsidP="00012AF3">
      <w:pPr>
        <w:spacing w:after="0" w:line="240" w:lineRule="auto"/>
        <w:rPr>
          <w:rFonts w:ascii="Gill Sans MT" w:hAnsi="Gill Sans MT" w:cs="Gill Sans for JCB"/>
          <w:color w:val="000000"/>
          <w:sz w:val="26"/>
          <w:szCs w:val="26"/>
          <w:lang w:val="es-ES"/>
        </w:rPr>
      </w:pPr>
      <w:r w:rsidRPr="00012AF3">
        <w:rPr>
          <w:rFonts w:ascii="Gill Sans MT" w:hAnsi="Gill Sans MT" w:cs="Gill Sans for JCB"/>
          <w:color w:val="000000"/>
          <w:sz w:val="26"/>
          <w:szCs w:val="26"/>
          <w:lang w:val="es-ES"/>
        </w:rPr>
        <w:t>La 520X se beneficia del reconocido servicio y soporte de repuestos de JCB, disponible a través de una red de concesionarios especializados capaces de proporcionar asistencia in situ. El mantenimiento programado de la máquina, la reparación in situ y en taller, y el suministro de repuestos de primera clase garantizan un tiempo de inactividad mínimo y una productividad máxima en aplicaciones de trabajo pesado.</w:t>
      </w:r>
    </w:p>
    <w:p w14:paraId="1F0A96E4" w14:textId="77777777" w:rsidR="00012AF3" w:rsidRDefault="00012AF3" w:rsidP="00012AF3">
      <w:pPr>
        <w:spacing w:after="0" w:line="240" w:lineRule="auto"/>
        <w:rPr>
          <w:rFonts w:ascii="Gill Sans MT" w:hAnsi="Gill Sans MT" w:cs="Gill Sans for JCB"/>
          <w:color w:val="000000"/>
          <w:sz w:val="26"/>
          <w:szCs w:val="26"/>
          <w:lang w:val="es-ES"/>
        </w:rPr>
      </w:pPr>
    </w:p>
    <w:p w14:paraId="7A96A2C2" w14:textId="0850CE64" w:rsidR="00411A67" w:rsidRPr="00012AF3" w:rsidRDefault="001F6404" w:rsidP="00012AF3">
      <w:pPr>
        <w:spacing w:after="0" w:line="240" w:lineRule="auto"/>
        <w:rPr>
          <w:rFonts w:ascii="Gill Sans MT" w:hAnsi="Gill Sans MT"/>
          <w:sz w:val="26"/>
          <w:szCs w:val="26"/>
          <w:lang w:val="es-ES"/>
        </w:rPr>
      </w:pPr>
      <w:r w:rsidRPr="00012AF3">
        <w:rPr>
          <w:rFonts w:ascii="Gill Sans MT" w:hAnsi="Gill Sans MT"/>
          <w:b/>
          <w:bCs/>
          <w:sz w:val="26"/>
          <w:szCs w:val="26"/>
          <w:lang w:val="es-ES"/>
        </w:rPr>
        <w:t>FIN</w:t>
      </w:r>
    </w:p>
    <w:p w14:paraId="1354013A" w14:textId="3AC4B083" w:rsidR="006D74F3" w:rsidRPr="00012AF3" w:rsidRDefault="00EB1F49" w:rsidP="006615AE">
      <w:pPr>
        <w:spacing w:after="0" w:line="240" w:lineRule="auto"/>
        <w:rPr>
          <w:rFonts w:ascii="Gill Sans MT" w:hAnsi="Gill Sans MT" w:cs="Gill Sans MT"/>
          <w:color w:val="000000"/>
          <w:sz w:val="26"/>
          <w:szCs w:val="26"/>
          <w:lang w:val="es-ES"/>
        </w:rPr>
      </w:pPr>
      <w:r w:rsidRPr="00012AF3">
        <w:rPr>
          <w:rFonts w:ascii="Gill Sans MT" w:hAnsi="Gill Sans MT"/>
          <w:sz w:val="26"/>
          <w:szCs w:val="26"/>
          <w:lang w:val="es-ES"/>
        </w:rPr>
        <w:br/>
      </w:r>
      <w:r w:rsidR="00012AF3" w:rsidRPr="00012AF3">
        <w:rPr>
          <w:rFonts w:ascii="Gill Sans MT" w:hAnsi="Gill Sans MT" w:cs="Gill Sans MT"/>
          <w:color w:val="000000"/>
          <w:sz w:val="26"/>
          <w:szCs w:val="26"/>
          <w:lang w:val="es-ES"/>
        </w:rPr>
        <w:t>Para más información contacte con</w:t>
      </w:r>
      <w:r w:rsidR="006D74F3" w:rsidRPr="00012AF3">
        <w:rPr>
          <w:rFonts w:ascii="Gill Sans MT" w:hAnsi="Gill Sans MT" w:cs="Gill Sans MT"/>
          <w:color w:val="000000"/>
          <w:sz w:val="26"/>
          <w:szCs w:val="26"/>
          <w:lang w:val="es-ES"/>
        </w:rPr>
        <w:t>: Nigel Chell, JCB Press Office</w:t>
      </w:r>
    </w:p>
    <w:p w14:paraId="5E9CF486" w14:textId="60BDBBE8" w:rsidR="001948B0" w:rsidRPr="002268C4" w:rsidRDefault="006D74F3" w:rsidP="006615AE">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01889 593592 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hyperlink r:id="rId7" w:history="1">
        <w:r w:rsidRPr="002268C4">
          <w:rPr>
            <w:rFonts w:ascii="Gill Sans MT" w:hAnsi="Gill Sans MT" w:cs="Gill Sans MT"/>
            <w:color w:val="2F2F2F"/>
            <w:sz w:val="26"/>
            <w:szCs w:val="26"/>
            <w:lang w:val="de-DE"/>
          </w:rPr>
          <w:t>www.jcb.com</w:t>
        </w:r>
      </w:hyperlink>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Segoe UI"/>
    <w:charset w:val="00"/>
    <w:family w:val="swiss"/>
    <w:pitch w:val="variable"/>
    <w:sig w:usb0="00000003"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3ECA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AF3"/>
    <w:rsid w:val="00012D04"/>
    <w:rsid w:val="00013455"/>
    <w:rsid w:val="00013933"/>
    <w:rsid w:val="00031111"/>
    <w:rsid w:val="000366E2"/>
    <w:rsid w:val="00037914"/>
    <w:rsid w:val="000401D7"/>
    <w:rsid w:val="00066545"/>
    <w:rsid w:val="00072A30"/>
    <w:rsid w:val="00075993"/>
    <w:rsid w:val="00075C95"/>
    <w:rsid w:val="000A2EF1"/>
    <w:rsid w:val="000B0939"/>
    <w:rsid w:val="000B2E86"/>
    <w:rsid w:val="000C19D3"/>
    <w:rsid w:val="000D4319"/>
    <w:rsid w:val="00130D7A"/>
    <w:rsid w:val="00137CBE"/>
    <w:rsid w:val="0014147E"/>
    <w:rsid w:val="00145593"/>
    <w:rsid w:val="001565B6"/>
    <w:rsid w:val="00161760"/>
    <w:rsid w:val="001678DD"/>
    <w:rsid w:val="001742BE"/>
    <w:rsid w:val="00181605"/>
    <w:rsid w:val="001846FD"/>
    <w:rsid w:val="001910F4"/>
    <w:rsid w:val="00192916"/>
    <w:rsid w:val="001948B0"/>
    <w:rsid w:val="001A6197"/>
    <w:rsid w:val="001B7F38"/>
    <w:rsid w:val="001C21B9"/>
    <w:rsid w:val="001D3064"/>
    <w:rsid w:val="001D4B27"/>
    <w:rsid w:val="001E05FF"/>
    <w:rsid w:val="001E0647"/>
    <w:rsid w:val="001E5BBA"/>
    <w:rsid w:val="001F6404"/>
    <w:rsid w:val="00202E29"/>
    <w:rsid w:val="00224802"/>
    <w:rsid w:val="00224E93"/>
    <w:rsid w:val="002267F6"/>
    <w:rsid w:val="002268C4"/>
    <w:rsid w:val="00280552"/>
    <w:rsid w:val="00282BDD"/>
    <w:rsid w:val="00285118"/>
    <w:rsid w:val="00290CF6"/>
    <w:rsid w:val="002D59DE"/>
    <w:rsid w:val="002E1FC4"/>
    <w:rsid w:val="00365CAB"/>
    <w:rsid w:val="00372FD5"/>
    <w:rsid w:val="003820ED"/>
    <w:rsid w:val="00392C22"/>
    <w:rsid w:val="003A086A"/>
    <w:rsid w:val="003A3447"/>
    <w:rsid w:val="003A7560"/>
    <w:rsid w:val="003B5777"/>
    <w:rsid w:val="003D40D0"/>
    <w:rsid w:val="003E1C5D"/>
    <w:rsid w:val="003E495F"/>
    <w:rsid w:val="003E65E0"/>
    <w:rsid w:val="003F67BE"/>
    <w:rsid w:val="0040368C"/>
    <w:rsid w:val="00404C4D"/>
    <w:rsid w:val="00404F7B"/>
    <w:rsid w:val="00405738"/>
    <w:rsid w:val="00411A67"/>
    <w:rsid w:val="00416850"/>
    <w:rsid w:val="004173AA"/>
    <w:rsid w:val="00441934"/>
    <w:rsid w:val="00445A6B"/>
    <w:rsid w:val="00461B5C"/>
    <w:rsid w:val="00462DB2"/>
    <w:rsid w:val="00464454"/>
    <w:rsid w:val="00474DB8"/>
    <w:rsid w:val="004970BE"/>
    <w:rsid w:val="004A057A"/>
    <w:rsid w:val="004A5C4F"/>
    <w:rsid w:val="004B1D98"/>
    <w:rsid w:val="004B231D"/>
    <w:rsid w:val="004C4C1B"/>
    <w:rsid w:val="004C540B"/>
    <w:rsid w:val="004F38A6"/>
    <w:rsid w:val="00535799"/>
    <w:rsid w:val="005528B9"/>
    <w:rsid w:val="00595065"/>
    <w:rsid w:val="005A4E81"/>
    <w:rsid w:val="005A6928"/>
    <w:rsid w:val="005B655B"/>
    <w:rsid w:val="005C134D"/>
    <w:rsid w:val="005C6C9B"/>
    <w:rsid w:val="005E5FEC"/>
    <w:rsid w:val="0061588B"/>
    <w:rsid w:val="00621440"/>
    <w:rsid w:val="00622678"/>
    <w:rsid w:val="006309BA"/>
    <w:rsid w:val="00632CFC"/>
    <w:rsid w:val="0065058C"/>
    <w:rsid w:val="00650DF5"/>
    <w:rsid w:val="006615AE"/>
    <w:rsid w:val="00675BC3"/>
    <w:rsid w:val="0069202A"/>
    <w:rsid w:val="00694E19"/>
    <w:rsid w:val="006A225C"/>
    <w:rsid w:val="006A4B80"/>
    <w:rsid w:val="006C180A"/>
    <w:rsid w:val="006D1C40"/>
    <w:rsid w:val="006D4FD7"/>
    <w:rsid w:val="006D74F3"/>
    <w:rsid w:val="006E051E"/>
    <w:rsid w:val="006E35E8"/>
    <w:rsid w:val="006E3C55"/>
    <w:rsid w:val="006E4E88"/>
    <w:rsid w:val="006E78F3"/>
    <w:rsid w:val="0070023C"/>
    <w:rsid w:val="007204BF"/>
    <w:rsid w:val="00766631"/>
    <w:rsid w:val="00766C3A"/>
    <w:rsid w:val="0078055D"/>
    <w:rsid w:val="007A46C7"/>
    <w:rsid w:val="007A7921"/>
    <w:rsid w:val="007C6745"/>
    <w:rsid w:val="007D14EB"/>
    <w:rsid w:val="007D6AC7"/>
    <w:rsid w:val="007F463E"/>
    <w:rsid w:val="007F4C3F"/>
    <w:rsid w:val="00810CD9"/>
    <w:rsid w:val="0081706A"/>
    <w:rsid w:val="00824E22"/>
    <w:rsid w:val="00830EC9"/>
    <w:rsid w:val="0083506A"/>
    <w:rsid w:val="00836A5F"/>
    <w:rsid w:val="00845253"/>
    <w:rsid w:val="008459D0"/>
    <w:rsid w:val="0085116A"/>
    <w:rsid w:val="00873B01"/>
    <w:rsid w:val="008817BA"/>
    <w:rsid w:val="008A4F63"/>
    <w:rsid w:val="008D2D93"/>
    <w:rsid w:val="008D3A52"/>
    <w:rsid w:val="008E7380"/>
    <w:rsid w:val="008F108C"/>
    <w:rsid w:val="008F11E6"/>
    <w:rsid w:val="00901EB1"/>
    <w:rsid w:val="0091532A"/>
    <w:rsid w:val="0093047A"/>
    <w:rsid w:val="00963FE8"/>
    <w:rsid w:val="009707E1"/>
    <w:rsid w:val="0097201E"/>
    <w:rsid w:val="009720AC"/>
    <w:rsid w:val="00983C4A"/>
    <w:rsid w:val="00984DE1"/>
    <w:rsid w:val="009973B3"/>
    <w:rsid w:val="009A7F74"/>
    <w:rsid w:val="009B02A7"/>
    <w:rsid w:val="009C0CAB"/>
    <w:rsid w:val="009C400D"/>
    <w:rsid w:val="009D7FEE"/>
    <w:rsid w:val="009F6485"/>
    <w:rsid w:val="00A14305"/>
    <w:rsid w:val="00A178B9"/>
    <w:rsid w:val="00A25A57"/>
    <w:rsid w:val="00A25ABC"/>
    <w:rsid w:val="00A26188"/>
    <w:rsid w:val="00A410C3"/>
    <w:rsid w:val="00A4296B"/>
    <w:rsid w:val="00A434B9"/>
    <w:rsid w:val="00A565FD"/>
    <w:rsid w:val="00A605D9"/>
    <w:rsid w:val="00A95927"/>
    <w:rsid w:val="00AA43F1"/>
    <w:rsid w:val="00AD079D"/>
    <w:rsid w:val="00AD4D89"/>
    <w:rsid w:val="00B001AA"/>
    <w:rsid w:val="00B026B8"/>
    <w:rsid w:val="00B12776"/>
    <w:rsid w:val="00B342C4"/>
    <w:rsid w:val="00B406C5"/>
    <w:rsid w:val="00B40868"/>
    <w:rsid w:val="00B42F8A"/>
    <w:rsid w:val="00B44A9B"/>
    <w:rsid w:val="00B62BF5"/>
    <w:rsid w:val="00B66576"/>
    <w:rsid w:val="00B830F9"/>
    <w:rsid w:val="00B86C27"/>
    <w:rsid w:val="00BA7550"/>
    <w:rsid w:val="00BB1597"/>
    <w:rsid w:val="00BB561C"/>
    <w:rsid w:val="00BD40A9"/>
    <w:rsid w:val="00BD669A"/>
    <w:rsid w:val="00BE572A"/>
    <w:rsid w:val="00BE707E"/>
    <w:rsid w:val="00BF72B2"/>
    <w:rsid w:val="00C20EC8"/>
    <w:rsid w:val="00C36A35"/>
    <w:rsid w:val="00C42C65"/>
    <w:rsid w:val="00C719B8"/>
    <w:rsid w:val="00C75CC9"/>
    <w:rsid w:val="00CA0532"/>
    <w:rsid w:val="00CA5122"/>
    <w:rsid w:val="00CC7A04"/>
    <w:rsid w:val="00CD3FE8"/>
    <w:rsid w:val="00CF5E14"/>
    <w:rsid w:val="00D0215E"/>
    <w:rsid w:val="00D15355"/>
    <w:rsid w:val="00D16FAD"/>
    <w:rsid w:val="00D227EA"/>
    <w:rsid w:val="00D27FFD"/>
    <w:rsid w:val="00D3018B"/>
    <w:rsid w:val="00D30B6F"/>
    <w:rsid w:val="00D30D77"/>
    <w:rsid w:val="00D31D89"/>
    <w:rsid w:val="00D57D72"/>
    <w:rsid w:val="00D61CB5"/>
    <w:rsid w:val="00D634E3"/>
    <w:rsid w:val="00D63EB6"/>
    <w:rsid w:val="00D65906"/>
    <w:rsid w:val="00DA14A7"/>
    <w:rsid w:val="00DA2DFA"/>
    <w:rsid w:val="00DB6BA4"/>
    <w:rsid w:val="00DB6EF2"/>
    <w:rsid w:val="00DC2CB7"/>
    <w:rsid w:val="00DC3BD7"/>
    <w:rsid w:val="00DE400A"/>
    <w:rsid w:val="00DE74BA"/>
    <w:rsid w:val="00DF1E34"/>
    <w:rsid w:val="00E06373"/>
    <w:rsid w:val="00E11A76"/>
    <w:rsid w:val="00E32DF1"/>
    <w:rsid w:val="00E41654"/>
    <w:rsid w:val="00E6560F"/>
    <w:rsid w:val="00E720E7"/>
    <w:rsid w:val="00E90B99"/>
    <w:rsid w:val="00EA0661"/>
    <w:rsid w:val="00EA1338"/>
    <w:rsid w:val="00EA31C2"/>
    <w:rsid w:val="00EA6DE9"/>
    <w:rsid w:val="00EB14E5"/>
    <w:rsid w:val="00EB1F49"/>
    <w:rsid w:val="00EC1C77"/>
    <w:rsid w:val="00EC62CE"/>
    <w:rsid w:val="00EF4416"/>
    <w:rsid w:val="00EF4502"/>
    <w:rsid w:val="00F02C85"/>
    <w:rsid w:val="00F161DD"/>
    <w:rsid w:val="00F23437"/>
    <w:rsid w:val="00F23EFE"/>
    <w:rsid w:val="00F25902"/>
    <w:rsid w:val="00F33511"/>
    <w:rsid w:val="00F35850"/>
    <w:rsid w:val="00F461B3"/>
    <w:rsid w:val="00F476C3"/>
    <w:rsid w:val="00F71167"/>
    <w:rsid w:val="00FA294A"/>
    <w:rsid w:val="00FA5F14"/>
    <w:rsid w:val="00FB3DE8"/>
    <w:rsid w:val="00FD73E5"/>
    <w:rsid w:val="00FE3610"/>
    <w:rsid w:val="00FF01A3"/>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 w:type="character" w:styleId="CommentReference">
    <w:name w:val="annotation reference"/>
    <w:basedOn w:val="DefaultParagraphFont"/>
    <w:uiPriority w:val="99"/>
    <w:semiHidden/>
    <w:unhideWhenUsed/>
    <w:rsid w:val="00181605"/>
    <w:rPr>
      <w:sz w:val="16"/>
      <w:szCs w:val="16"/>
    </w:rPr>
  </w:style>
  <w:style w:type="paragraph" w:styleId="CommentText">
    <w:name w:val="annotation text"/>
    <w:basedOn w:val="Normal"/>
    <w:link w:val="CommentTextChar"/>
    <w:uiPriority w:val="99"/>
    <w:unhideWhenUsed/>
    <w:rsid w:val="00181605"/>
    <w:pPr>
      <w:spacing w:line="240" w:lineRule="auto"/>
    </w:pPr>
    <w:rPr>
      <w:sz w:val="20"/>
      <w:szCs w:val="20"/>
    </w:rPr>
  </w:style>
  <w:style w:type="character" w:customStyle="1" w:styleId="CommentTextChar">
    <w:name w:val="Comment Text Char"/>
    <w:basedOn w:val="DefaultParagraphFont"/>
    <w:link w:val="CommentText"/>
    <w:uiPriority w:val="99"/>
    <w:rsid w:val="001816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1078</Words>
  <Characters>5431</Characters>
  <Application>Microsoft Office Word</Application>
  <DocSecurity>0</DocSecurity>
  <Lines>92</Lines>
  <Paragraphs>30</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Nigel Chell</cp:lastModifiedBy>
  <cp:revision>11</cp:revision>
  <cp:lastPrinted>2017-01-06T11:32:00Z</cp:lastPrinted>
  <dcterms:created xsi:type="dcterms:W3CDTF">2026-04-20T09:13:00Z</dcterms:created>
  <dcterms:modified xsi:type="dcterms:W3CDTF">2026-05-04T13:38:00Z</dcterms:modified>
</cp:coreProperties>
</file>